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38B0572F"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06342B">
        <w:rPr>
          <w:rFonts w:ascii="Arial" w:eastAsia="Times New Roman" w:hAnsi="Arial" w:cs="Arial"/>
          <w:b/>
          <w:sz w:val="24"/>
          <w:szCs w:val="24"/>
          <w:lang w:val="en-GB"/>
        </w:rPr>
        <w:t>7</w:t>
      </w:r>
      <w:r w:rsidR="00C82B50" w:rsidRPr="0040001F">
        <w:rPr>
          <w:rFonts w:ascii="Arial" w:eastAsia="Times New Roman" w:hAnsi="Arial" w:cs="Arial"/>
          <w:b/>
          <w:sz w:val="24"/>
          <w:szCs w:val="24"/>
          <w:lang w:val="en-GB"/>
        </w:rPr>
        <w:t>e</w:t>
      </w:r>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280009" w:rsidRPr="00280009">
        <w:rPr>
          <w:rFonts w:ascii="Arial" w:eastAsia="Times New Roman" w:hAnsi="Arial" w:cs="Arial"/>
          <w:b/>
          <w:sz w:val="24"/>
          <w:szCs w:val="24"/>
          <w:lang w:val="en-GB"/>
        </w:rPr>
        <w:t>R4-2015565</w:t>
      </w:r>
    </w:p>
    <w:p w14:paraId="00238F8F" w14:textId="6254A2C1"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06342B">
        <w:rPr>
          <w:rFonts w:cs="Arial"/>
          <w:b/>
          <w:sz w:val="24"/>
          <w:szCs w:val="24"/>
        </w:rPr>
        <w:t>2 – 13 November</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3313E31F"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80009">
        <w:rPr>
          <w:rFonts w:ascii="Arial" w:eastAsia="MS Mincho" w:hAnsi="Arial" w:cs="Arial"/>
          <w:lang w:eastAsia="ja-JP"/>
        </w:rPr>
        <w:t>Clarification of DC location for intra-band UL CA</w:t>
      </w:r>
    </w:p>
    <w:p w14:paraId="4F2055CD" w14:textId="68FBB92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80009">
        <w:rPr>
          <w:rFonts w:ascii="Arial" w:eastAsia="MS Mincho" w:hAnsi="Arial" w:cs="Arial"/>
        </w:rPr>
        <w:t>7.11.1.3</w:t>
      </w:r>
    </w:p>
    <w:p w14:paraId="26887F74" w14:textId="3F43DFF2"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AE6B8F">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5D0C2B3E" w14:textId="77777777" w:rsidR="00280009" w:rsidRDefault="00280009" w:rsidP="00280009">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In RAN #89e, the following proposals were endorsed regarding DC location reporting from RP-202018. </w:t>
      </w:r>
    </w:p>
    <w:p w14:paraId="5F794287" w14:textId="77777777" w:rsidR="00280009" w:rsidRDefault="00280009" w:rsidP="00280009">
      <w:pPr>
        <w:pStyle w:val="paragraph"/>
        <w:spacing w:before="0" w:beforeAutospacing="0" w:after="0" w:afterAutospacing="0"/>
        <w:textAlignment w:val="baseline"/>
        <w:rPr>
          <w:rStyle w:val="normaltextrun"/>
          <w:rFonts w:ascii="Calibri" w:hAnsi="Calibri" w:cs="Calibri"/>
          <w:sz w:val="22"/>
          <w:szCs w:val="22"/>
        </w:rPr>
      </w:pPr>
    </w:p>
    <w:tbl>
      <w:tblPr>
        <w:tblStyle w:val="TableGrid"/>
        <w:tblW w:w="0" w:type="auto"/>
        <w:tblLook w:val="04A0" w:firstRow="1" w:lastRow="0" w:firstColumn="1" w:lastColumn="0" w:noHBand="0" w:noVBand="1"/>
      </w:tblPr>
      <w:tblGrid>
        <w:gridCol w:w="9631"/>
      </w:tblGrid>
      <w:tr w:rsidR="00280009" w14:paraId="7DC66B9B" w14:textId="77777777" w:rsidTr="00280009">
        <w:tc>
          <w:tcPr>
            <w:tcW w:w="9631" w:type="dxa"/>
          </w:tcPr>
          <w:p w14:paraId="616DC513" w14:textId="77777777" w:rsidR="00280009" w:rsidRDefault="00280009" w:rsidP="0028000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In RAN #89e, the following proposals were endorsed regarding DC location reporting from RP-202018. </w:t>
            </w:r>
            <w:r>
              <w:rPr>
                <w:rStyle w:val="eop"/>
                <w:rFonts w:ascii="Calibri" w:hAnsi="Calibri" w:cs="Calibri"/>
                <w:sz w:val="22"/>
                <w:szCs w:val="22"/>
              </w:rPr>
              <w:t> </w:t>
            </w:r>
          </w:p>
          <w:p w14:paraId="4B2E617D" w14:textId="77777777" w:rsidR="00280009" w:rsidRDefault="00280009" w:rsidP="0028000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Proposal (finetuning): a mechanism of DC location reporting for intra-band UL CA should be specified in Rel-16 </w:t>
            </w:r>
            <w:r>
              <w:rPr>
                <w:rStyle w:val="eop"/>
                <w:rFonts w:ascii="Calibri" w:hAnsi="Calibri" w:cs="Calibri"/>
                <w:sz w:val="22"/>
                <w:szCs w:val="22"/>
              </w:rPr>
              <w:t> </w:t>
            </w:r>
          </w:p>
          <w:p w14:paraId="4D5ECE5A" w14:textId="77777777" w:rsidR="00280009" w:rsidRDefault="00280009" w:rsidP="00280009">
            <w:pPr>
              <w:pStyle w:val="paragraph"/>
              <w:numPr>
                <w:ilvl w:val="0"/>
                <w:numId w:val="24"/>
              </w:numPr>
              <w:spacing w:before="0" w:beforeAutospacing="0" w:after="0" w:afterAutospacing="0"/>
              <w:ind w:left="270" w:firstLine="0"/>
              <w:textAlignment w:val="baseline"/>
              <w:rPr>
                <w:sz w:val="20"/>
                <w:szCs w:val="20"/>
              </w:rPr>
            </w:pPr>
            <w:r>
              <w:rPr>
                <w:rStyle w:val="normaltextrun"/>
                <w:b/>
                <w:bCs/>
                <w:sz w:val="20"/>
                <w:szCs w:val="20"/>
                <w:lang w:val="en-GB"/>
              </w:rPr>
              <w:t>RAN2 is tasked to provide at least one RAN2-based signalling solution </w:t>
            </w:r>
            <w:r>
              <w:rPr>
                <w:rStyle w:val="normaltextrun"/>
                <w:b/>
                <w:bCs/>
                <w:color w:val="2F5496"/>
                <w:sz w:val="20"/>
                <w:szCs w:val="20"/>
                <w:lang w:val="en-GB"/>
              </w:rPr>
              <w:t>for FR1</w:t>
            </w:r>
            <w:r>
              <w:rPr>
                <w:rStyle w:val="normaltextrun"/>
                <w:b/>
                <w:bCs/>
                <w:sz w:val="20"/>
                <w:szCs w:val="20"/>
                <w:lang w:val="en-GB"/>
              </w:rPr>
              <w:t> to RAN#90, and consider</w:t>
            </w:r>
            <w:r>
              <w:rPr>
                <w:rStyle w:val="normaltextrun"/>
                <w:b/>
                <w:bCs/>
                <w:strike/>
                <w:color w:val="FF0000"/>
                <w:sz w:val="20"/>
                <w:szCs w:val="20"/>
                <w:lang w:val="en-GB"/>
              </w:rPr>
              <w:t> </w:t>
            </w:r>
            <w:r>
              <w:rPr>
                <w:rStyle w:val="normaltextrun"/>
                <w:b/>
                <w:bCs/>
                <w:sz w:val="20"/>
                <w:szCs w:val="20"/>
                <w:lang w:val="en-GB"/>
              </w:rPr>
              <w:t>applicability of the solution to more than 2 UL CCs and/or FR2 </w:t>
            </w:r>
            <w:r>
              <w:rPr>
                <w:rStyle w:val="normaltextrun"/>
                <w:b/>
                <w:bCs/>
                <w:color w:val="2F5496"/>
                <w:sz w:val="20"/>
                <w:szCs w:val="20"/>
                <w:lang w:val="en-GB"/>
              </w:rPr>
              <w:t>(including forward compatibility)</w:t>
            </w:r>
            <w:r>
              <w:rPr>
                <w:rStyle w:val="eop"/>
                <w:color w:val="2F5496"/>
                <w:sz w:val="20"/>
                <w:szCs w:val="20"/>
              </w:rPr>
              <w:t> </w:t>
            </w:r>
          </w:p>
          <w:p w14:paraId="7BF193F7" w14:textId="352F5091" w:rsidR="00280009" w:rsidRPr="00280009" w:rsidRDefault="00280009" w:rsidP="00280009">
            <w:pPr>
              <w:pStyle w:val="paragraph"/>
              <w:numPr>
                <w:ilvl w:val="0"/>
                <w:numId w:val="24"/>
              </w:numPr>
              <w:spacing w:before="0" w:beforeAutospacing="0" w:after="0" w:afterAutospacing="0"/>
              <w:ind w:left="270" w:firstLine="0"/>
              <w:textAlignment w:val="baseline"/>
              <w:rPr>
                <w:rStyle w:val="eop"/>
                <w:sz w:val="20"/>
                <w:szCs w:val="20"/>
              </w:rPr>
            </w:pPr>
            <w:r>
              <w:rPr>
                <w:rStyle w:val="normaltextrun"/>
                <w:b/>
                <w:bCs/>
                <w:sz w:val="20"/>
                <w:szCs w:val="20"/>
                <w:lang w:val="en-GB"/>
              </w:rPr>
              <w:t>Other solutions are not precluded and can be discussed in RAN1, RAN2 and RAN4. Selection between solutions can be discussed at RAN#90 or later (if possible).</w:t>
            </w:r>
            <w:r>
              <w:rPr>
                <w:rStyle w:val="eop"/>
                <w:sz w:val="20"/>
                <w:szCs w:val="20"/>
              </w:rPr>
              <w:t> </w:t>
            </w:r>
          </w:p>
        </w:tc>
      </w:tr>
    </w:tbl>
    <w:p w14:paraId="21649768" w14:textId="7332A1E4" w:rsidR="00635641" w:rsidRDefault="00280009" w:rsidP="00280009">
      <w:pPr>
        <w:pStyle w:val="paragraph"/>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w:t>
      </w:r>
    </w:p>
    <w:p w14:paraId="78799226" w14:textId="6AE8B26A" w:rsidR="00280009" w:rsidRDefault="00280009" w:rsidP="00280009">
      <w:pPr>
        <w:pStyle w:val="paragraph"/>
        <w:spacing w:before="0" w:beforeAutospacing="0" w:after="0" w:afterAutospacing="0"/>
        <w:textAlignment w:val="baseline"/>
      </w:pPr>
      <w:r>
        <w:rPr>
          <w:rStyle w:val="normaltextrun"/>
          <w:rFonts w:ascii="Calibri" w:hAnsi="Calibri" w:cs="Calibri"/>
          <w:sz w:val="22"/>
          <w:szCs w:val="22"/>
        </w:rPr>
        <w:t>In this document, we would like to provide our view.</w:t>
      </w:r>
      <w:r>
        <w:rPr>
          <w:rStyle w:val="eop"/>
          <w:rFonts w:ascii="Calibri" w:hAnsi="Calibri" w:cs="Calibri"/>
          <w:sz w:val="22"/>
          <w:szCs w:val="22"/>
        </w:rPr>
        <w:t> </w:t>
      </w:r>
    </w:p>
    <w:p w14:paraId="1228BD04" w14:textId="2AC0F613" w:rsidR="00536054" w:rsidRPr="00BE7FF4" w:rsidRDefault="00BE7FF4" w:rsidP="00BE7FF4">
      <w:pPr>
        <w:pStyle w:val="Heading1"/>
      </w:pPr>
      <w:r>
        <w:t>Discussion</w:t>
      </w:r>
    </w:p>
    <w:p w14:paraId="43C9E990" w14:textId="77777777" w:rsidR="00280009" w:rsidRDefault="00280009" w:rsidP="0028000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lang w:val="en-GB"/>
        </w:rPr>
        <w:t>DC location reporting is introduced in NR Rel-15, in which the UE report txDirectCurrentLocation per serving cell for each configured UL BWP. </w:t>
      </w:r>
      <w:r>
        <w:rPr>
          <w:rStyle w:val="eop"/>
          <w:rFonts w:ascii="Calibri" w:hAnsi="Calibri" w:cs="Calibri"/>
          <w:sz w:val="22"/>
          <w:szCs w:val="22"/>
        </w:rPr>
        <w:t> </w:t>
      </w:r>
    </w:p>
    <w:p w14:paraId="34121A45" w14:textId="331209C9" w:rsidR="00280009" w:rsidRDefault="00280009" w:rsidP="0028000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lang w:val="en-GB"/>
        </w:rPr>
        <w:t>However, RAN4 agree to introduce additional DC location reporting for intra-band UL CA because the real DC location should be determined per active BWP pair [</w:t>
      </w:r>
      <w:r>
        <w:rPr>
          <w:rStyle w:val="normaltextrun"/>
          <w:rFonts w:ascii="Calibri" w:hAnsi="Calibri" w:cs="Calibri"/>
          <w:sz w:val="22"/>
          <w:szCs w:val="22"/>
          <w:lang w:val="en-GB"/>
        </w:rPr>
        <w:t>1</w:t>
      </w:r>
      <w:r>
        <w:rPr>
          <w:rStyle w:val="normaltextrun"/>
          <w:rFonts w:ascii="Calibri" w:hAnsi="Calibri" w:cs="Calibri"/>
          <w:sz w:val="22"/>
          <w:szCs w:val="22"/>
          <w:lang w:val="en-GB"/>
        </w:rPr>
        <w:t>]. It means that the DC location is changed depending on the active BWPs across CCs. RAN4 has come up with two options as follows. </w:t>
      </w:r>
      <w:r>
        <w:rPr>
          <w:rStyle w:val="eop"/>
          <w:rFonts w:ascii="Calibri" w:hAnsi="Calibri" w:cs="Calibri"/>
          <w:sz w:val="22"/>
          <w:szCs w:val="22"/>
        </w:rPr>
        <w:t> </w:t>
      </w:r>
    </w:p>
    <w:p w14:paraId="3586A48E" w14:textId="77777777" w:rsidR="00280009" w:rsidRDefault="00280009" w:rsidP="00280009">
      <w:pPr>
        <w:pStyle w:val="paragraph"/>
        <w:numPr>
          <w:ilvl w:val="0"/>
          <w:numId w:val="2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000000"/>
          <w:sz w:val="22"/>
          <w:szCs w:val="22"/>
          <w:lang w:val="en-GB"/>
        </w:rPr>
        <w:t>Report TX DC location after every activation of BWP’s including CC activation, BWP switching procedure, etc.</w:t>
      </w:r>
      <w:r>
        <w:rPr>
          <w:rStyle w:val="eop"/>
          <w:rFonts w:ascii="Calibri" w:hAnsi="Calibri" w:cs="Calibri"/>
          <w:color w:val="000000"/>
          <w:sz w:val="22"/>
          <w:szCs w:val="22"/>
        </w:rPr>
        <w:t> </w:t>
      </w:r>
    </w:p>
    <w:p w14:paraId="0963AD1D" w14:textId="77777777" w:rsidR="00280009" w:rsidRDefault="00280009" w:rsidP="00280009">
      <w:pPr>
        <w:pStyle w:val="paragraph"/>
        <w:numPr>
          <w:ilvl w:val="0"/>
          <w:numId w:val="26"/>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000000"/>
          <w:sz w:val="22"/>
          <w:szCs w:val="22"/>
          <w:lang w:val="en-GB"/>
        </w:rPr>
        <w:t>Report each TX DC location based on permutations of all possible simultaneously activated BWPs within configured BWPs</w:t>
      </w:r>
      <w:r>
        <w:rPr>
          <w:rStyle w:val="eop"/>
          <w:rFonts w:ascii="Calibri" w:hAnsi="Calibri" w:cs="Calibri"/>
          <w:color w:val="000000"/>
          <w:sz w:val="22"/>
          <w:szCs w:val="22"/>
        </w:rPr>
        <w:t> </w:t>
      </w:r>
    </w:p>
    <w:p w14:paraId="4FF4D6A0" w14:textId="77777777" w:rsidR="00280009" w:rsidRDefault="00280009" w:rsidP="00280009">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color w:val="000000"/>
          <w:sz w:val="22"/>
          <w:szCs w:val="22"/>
        </w:rPr>
        <w:t> </w:t>
      </w:r>
    </w:p>
    <w:p w14:paraId="7EDA8E97" w14:textId="786FE540" w:rsidR="00280009" w:rsidRDefault="00280009" w:rsidP="00280009">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In our understanding, option 1 requires PHY/MAC signalling for DC location because CC activation and BWP switching is performed dynamically via PHY or MAC signalling. On the other hand, option 2 can be implemented with RRC signalling similar to existing DC location reporting. </w:t>
      </w:r>
      <w:r>
        <w:rPr>
          <w:rStyle w:val="eop"/>
          <w:rFonts w:ascii="Calibri" w:hAnsi="Calibri" w:cs="Calibri"/>
          <w:sz w:val="22"/>
          <w:szCs w:val="22"/>
        </w:rPr>
        <w:t> </w:t>
      </w:r>
    </w:p>
    <w:p w14:paraId="77BAC215" w14:textId="77777777" w:rsidR="00280009" w:rsidRDefault="00280009" w:rsidP="00280009">
      <w:pPr>
        <w:pStyle w:val="paragraph"/>
        <w:spacing w:before="0" w:beforeAutospacing="0" w:after="0" w:afterAutospacing="0"/>
        <w:textAlignment w:val="baseline"/>
        <w:rPr>
          <w:rFonts w:ascii="Segoe UI" w:hAnsi="Segoe UI" w:cs="Segoe UI"/>
          <w:sz w:val="18"/>
          <w:szCs w:val="18"/>
        </w:rPr>
      </w:pPr>
    </w:p>
    <w:p w14:paraId="219D2839" w14:textId="77777777" w:rsidR="00280009" w:rsidRDefault="00280009" w:rsidP="0028000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lang w:val="en-GB"/>
        </w:rPr>
        <w:t>During RAN plenary email discussion, most companies prefer option 2 with concern on potential signaling overhead with option 1. BWP switching is performed by PDCCH, RRC and timer based. The UE may need very frequent reporting because BWP switching can happen frequently.  In addition, it was also concerned that option 1 requires spec impact in both RAN1 and RAN. </w:t>
      </w:r>
      <w:r>
        <w:rPr>
          <w:rStyle w:val="eop"/>
          <w:rFonts w:ascii="Calibri" w:hAnsi="Calibri" w:cs="Calibri"/>
          <w:sz w:val="22"/>
          <w:szCs w:val="22"/>
        </w:rPr>
        <w:t> </w:t>
      </w:r>
    </w:p>
    <w:p w14:paraId="251CE5CE" w14:textId="77777777" w:rsidR="00280009" w:rsidRDefault="00280009" w:rsidP="0028000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lang w:val="en-GB"/>
        </w:rPr>
        <w:t>On the other hand, option 2 is also concerned due to scalability issue. For example, if the UE supports 2 CCs and 4 BWPs, 16 DC location information need to be reported. It will be increased with respect to the number of CCs and the number BWPS. For 16 CCs with 4 BWPs, this would require 4.2 billion entries.   Due to this reason, RAN concluded that RAN2 focus on 2 UL CCs and FR1. </w:t>
      </w:r>
      <w:r>
        <w:rPr>
          <w:rStyle w:val="eop"/>
          <w:rFonts w:ascii="Calibri" w:hAnsi="Calibri" w:cs="Calibri"/>
          <w:sz w:val="22"/>
          <w:szCs w:val="22"/>
        </w:rPr>
        <w:t> </w:t>
      </w:r>
    </w:p>
    <w:p w14:paraId="4C7F1AAB" w14:textId="52B486F4" w:rsidR="000F0309" w:rsidRPr="00280009" w:rsidRDefault="000F0309" w:rsidP="00BD7464">
      <w:pPr>
        <w:rPr>
          <w:lang w:eastAsia="ja-JP" w:bidi="hi-IN"/>
        </w:rPr>
      </w:pPr>
    </w:p>
    <w:p w14:paraId="2D4A08DF" w14:textId="2130C768" w:rsidR="00280009" w:rsidRPr="00280009" w:rsidRDefault="00280009" w:rsidP="00280009">
      <w:pPr>
        <w:pStyle w:val="paragraph"/>
        <w:spacing w:before="0" w:beforeAutospacing="0" w:after="0" w:afterAutospacing="0"/>
        <w:textAlignment w:val="baseline"/>
        <w:rPr>
          <w:rFonts w:ascii="Calibri" w:hAnsi="Calibri" w:cs="Calibri"/>
          <w:sz w:val="22"/>
          <w:szCs w:val="22"/>
          <w:lang w:val="en-GB"/>
        </w:rPr>
      </w:pPr>
      <w:r w:rsidRPr="00280009">
        <w:rPr>
          <w:rStyle w:val="normaltextrun"/>
          <w:rFonts w:ascii="Calibri" w:hAnsi="Calibri" w:cs="Calibri"/>
          <w:sz w:val="22"/>
          <w:szCs w:val="22"/>
          <w:lang w:val="en-GB"/>
        </w:rPr>
        <w:t xml:space="preserve">One additional aspect we would like to bring up is whether there is any need to consider SUL. </w:t>
      </w:r>
      <w:r>
        <w:rPr>
          <w:rStyle w:val="normaltextrun"/>
          <w:rFonts w:ascii="Calibri" w:hAnsi="Calibri" w:cs="Calibri"/>
          <w:sz w:val="22"/>
          <w:szCs w:val="22"/>
          <w:lang w:val="en-GB"/>
        </w:rPr>
        <w:t>If SUL is supported, the possible combination of BWPs per cell will be increased twice (i.e. up to 8) not up to 4. However, RAN4 has not defined intra-band UL CA with SUL.</w:t>
      </w:r>
      <w:r>
        <w:rPr>
          <w:rStyle w:val="normaltextrun"/>
          <w:rFonts w:ascii="Calibri" w:hAnsi="Calibri" w:cs="Calibri"/>
          <w:sz w:val="22"/>
          <w:szCs w:val="22"/>
          <w:lang w:val="en-GB"/>
        </w:rPr>
        <w:t xml:space="preserve"> Furthermore, e</w:t>
      </w:r>
      <w:r>
        <w:rPr>
          <w:rStyle w:val="normaltextrun"/>
          <w:rFonts w:ascii="Calibri" w:hAnsi="Calibri" w:cs="Calibri"/>
          <w:sz w:val="22"/>
          <w:szCs w:val="22"/>
          <w:lang w:val="en-GB"/>
        </w:rPr>
        <w:t xml:space="preserve">ven if SUL is supported with </w:t>
      </w:r>
      <w:r>
        <w:rPr>
          <w:rStyle w:val="normaltextrun"/>
          <w:rFonts w:ascii="Calibri" w:hAnsi="Calibri" w:cs="Calibri"/>
          <w:sz w:val="22"/>
          <w:szCs w:val="22"/>
          <w:lang w:val="en-GB"/>
        </w:rPr>
        <w:lastRenderedPageBreak/>
        <w:t>intra-band UL CA, SUL band will be in the different band from the band in the intra-band UL CA. So, it won’t affect DC location for intra-band UL CA. </w:t>
      </w:r>
      <w:r>
        <w:rPr>
          <w:rStyle w:val="eop"/>
          <w:rFonts w:ascii="Calibri" w:hAnsi="Calibri" w:cs="Calibri"/>
          <w:sz w:val="22"/>
          <w:szCs w:val="22"/>
        </w:rPr>
        <w:t> </w:t>
      </w:r>
    </w:p>
    <w:p w14:paraId="0C4319F9" w14:textId="3B022A83" w:rsidR="00280009" w:rsidRDefault="00280009" w:rsidP="00280009">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Therefore, it is pragmatic approach not to consider SUL for the new DC location reporting </w:t>
      </w:r>
      <w:r>
        <w:rPr>
          <w:rStyle w:val="normaltextrun"/>
          <w:rFonts w:ascii="Calibri" w:hAnsi="Calibri" w:cs="Calibri"/>
          <w:sz w:val="22"/>
          <w:szCs w:val="22"/>
          <w:lang w:val="en-GB"/>
        </w:rPr>
        <w:t>signalling</w:t>
      </w:r>
      <w:r>
        <w:rPr>
          <w:rStyle w:val="normaltextrun"/>
          <w:rFonts w:ascii="Calibri" w:hAnsi="Calibri" w:cs="Calibri"/>
          <w:sz w:val="22"/>
          <w:szCs w:val="22"/>
          <w:lang w:val="en-GB"/>
        </w:rPr>
        <w:t>.</w:t>
      </w:r>
      <w:r>
        <w:rPr>
          <w:rStyle w:val="eop"/>
          <w:rFonts w:ascii="Calibri" w:hAnsi="Calibri" w:cs="Calibri"/>
          <w:sz w:val="22"/>
          <w:szCs w:val="22"/>
        </w:rPr>
        <w:t> </w:t>
      </w:r>
    </w:p>
    <w:p w14:paraId="72AA2B0F" w14:textId="5D25BFAD" w:rsidR="00280009" w:rsidRDefault="00280009" w:rsidP="00BD7464">
      <w:pPr>
        <w:rPr>
          <w:lang w:eastAsia="ja-JP" w:bidi="hi-IN"/>
        </w:rPr>
      </w:pPr>
    </w:p>
    <w:p w14:paraId="0C3732C2" w14:textId="424C69F4" w:rsidR="00280009" w:rsidRPr="00280009" w:rsidRDefault="00280009" w:rsidP="00280009">
      <w:pPr>
        <w:pStyle w:val="paragraph"/>
        <w:spacing w:before="0" w:beforeAutospacing="0" w:after="0" w:afterAutospacing="0"/>
        <w:jc w:val="both"/>
        <w:textAlignment w:val="baseline"/>
        <w:rPr>
          <w:rStyle w:val="normaltextrun"/>
          <w:rFonts w:ascii="Calibri" w:hAnsi="Calibri" w:cs="Calibri"/>
          <w:b/>
          <w:bCs/>
          <w:i/>
          <w:iCs/>
          <w:sz w:val="22"/>
          <w:szCs w:val="22"/>
          <w:lang w:val="en-GB"/>
        </w:rPr>
      </w:pPr>
      <w:r w:rsidRPr="00280009">
        <w:rPr>
          <w:rStyle w:val="normaltextrun"/>
          <w:rFonts w:ascii="Calibri" w:hAnsi="Calibri" w:cs="Calibri"/>
          <w:b/>
          <w:bCs/>
          <w:i/>
          <w:iCs/>
          <w:sz w:val="22"/>
          <w:szCs w:val="22"/>
          <w:lang w:val="en-GB"/>
        </w:rPr>
        <w:t>Proposal: RAN4 agrees not to consider SUL in DC location information signaling.</w:t>
      </w:r>
    </w:p>
    <w:p w14:paraId="2BC8AEBA" w14:textId="388FC505" w:rsidR="00C94DB9" w:rsidRPr="001F1E22" w:rsidRDefault="00C94DB9" w:rsidP="00C94DB9">
      <w:pPr>
        <w:pStyle w:val="Heading1"/>
        <w:ind w:left="533" w:hanging="533"/>
        <w:rPr>
          <w:rStyle w:val="SubtleReference"/>
          <w:smallCaps w:val="0"/>
          <w:lang w:val="en-US"/>
        </w:rPr>
      </w:pPr>
      <w:r>
        <w:rPr>
          <w:lang w:val="en-US" w:eastAsia="zh-CN"/>
        </w:rPr>
        <w:t>Summary</w:t>
      </w:r>
    </w:p>
    <w:p w14:paraId="0F0E04A9" w14:textId="447E03EA" w:rsidR="00825908" w:rsidRDefault="00280009" w:rsidP="00280009">
      <w:pPr>
        <w:pStyle w:val="paragraph"/>
        <w:spacing w:before="0" w:beforeAutospacing="0" w:after="0" w:afterAutospacing="0"/>
        <w:textAlignment w:val="baseline"/>
        <w:rPr>
          <w:rStyle w:val="normaltextrun"/>
          <w:rFonts w:ascii="Calibri" w:hAnsi="Calibri" w:cs="Calibri"/>
          <w:sz w:val="22"/>
          <w:szCs w:val="22"/>
          <w:lang w:val="en-GB"/>
        </w:rPr>
      </w:pPr>
      <w:r w:rsidRPr="00280009">
        <w:rPr>
          <w:rStyle w:val="normaltextrun"/>
          <w:rFonts w:ascii="Calibri" w:hAnsi="Calibri" w:cs="Calibri"/>
          <w:sz w:val="22"/>
          <w:szCs w:val="22"/>
          <w:lang w:val="en-GB"/>
        </w:rPr>
        <w:t>In this paper</w:t>
      </w:r>
      <w:r>
        <w:rPr>
          <w:rStyle w:val="normaltextrun"/>
          <w:rFonts w:ascii="Calibri" w:hAnsi="Calibri" w:cs="Calibri"/>
          <w:sz w:val="22"/>
          <w:szCs w:val="22"/>
          <w:lang w:val="en-GB"/>
        </w:rPr>
        <w:t>, a brief plenary discussion was summarized and additional aspect was brough up. The following proposal was made:</w:t>
      </w:r>
    </w:p>
    <w:p w14:paraId="316906CB" w14:textId="33B2820A" w:rsidR="00280009" w:rsidRDefault="00280009" w:rsidP="00280009">
      <w:pPr>
        <w:pStyle w:val="paragraph"/>
        <w:spacing w:before="0" w:beforeAutospacing="0" w:after="0" w:afterAutospacing="0"/>
        <w:textAlignment w:val="baseline"/>
        <w:rPr>
          <w:rStyle w:val="normaltextrun"/>
          <w:rFonts w:ascii="Calibri" w:hAnsi="Calibri" w:cs="Calibri"/>
          <w:sz w:val="22"/>
          <w:szCs w:val="22"/>
          <w:lang w:val="en-GB"/>
        </w:rPr>
      </w:pPr>
    </w:p>
    <w:p w14:paraId="6BE4A636" w14:textId="77777777" w:rsidR="00280009" w:rsidRPr="00280009" w:rsidRDefault="00280009" w:rsidP="00280009">
      <w:pPr>
        <w:pStyle w:val="paragraph"/>
        <w:spacing w:before="0" w:beforeAutospacing="0" w:after="0" w:afterAutospacing="0"/>
        <w:jc w:val="both"/>
        <w:textAlignment w:val="baseline"/>
        <w:rPr>
          <w:rStyle w:val="normaltextrun"/>
          <w:rFonts w:ascii="Calibri" w:hAnsi="Calibri" w:cs="Calibri"/>
          <w:b/>
          <w:bCs/>
          <w:i/>
          <w:iCs/>
          <w:sz w:val="22"/>
          <w:szCs w:val="22"/>
          <w:lang w:val="en-GB"/>
        </w:rPr>
      </w:pPr>
      <w:r w:rsidRPr="00280009">
        <w:rPr>
          <w:rStyle w:val="normaltextrun"/>
          <w:rFonts w:ascii="Calibri" w:hAnsi="Calibri" w:cs="Calibri"/>
          <w:b/>
          <w:bCs/>
          <w:i/>
          <w:iCs/>
          <w:sz w:val="22"/>
          <w:szCs w:val="22"/>
          <w:lang w:val="en-GB"/>
        </w:rPr>
        <w:t>Proposal: RAN4 agrees not to consider SUL in DC location information signaling.</w:t>
      </w:r>
    </w:p>
    <w:p w14:paraId="0B804C86" w14:textId="6A451B68" w:rsidR="00B76B98" w:rsidRPr="001F1E22" w:rsidRDefault="00B76B98" w:rsidP="000F2367">
      <w:pPr>
        <w:pStyle w:val="Heading1"/>
        <w:ind w:left="533" w:hanging="533"/>
        <w:rPr>
          <w:rStyle w:val="SubtleReference"/>
          <w:smallCaps w:val="0"/>
          <w:lang w:val="en-US"/>
        </w:rPr>
      </w:pPr>
      <w:bookmarkStart w:id="3" w:name="_GoBack"/>
      <w:bookmarkEnd w:id="3"/>
      <w:r w:rsidRPr="001F1E22">
        <w:rPr>
          <w:rFonts w:hint="eastAsia"/>
          <w:lang w:val="en-US" w:eastAsia="zh-CN"/>
        </w:rPr>
        <w:t>Reference</w:t>
      </w:r>
    </w:p>
    <w:p w14:paraId="6758D5ED" w14:textId="12BD04DA" w:rsidR="00A84C6D" w:rsidRDefault="00C96329" w:rsidP="00AE6B8F">
      <w:pPr>
        <w:pStyle w:val="TAC"/>
        <w:ind w:left="45"/>
        <w:jc w:val="both"/>
        <w:rPr>
          <w:lang w:val="en-US" w:eastAsia="ja-JP"/>
        </w:rPr>
      </w:pPr>
      <w:r>
        <w:rPr>
          <w:lang w:val="en-US" w:eastAsia="ja-JP"/>
        </w:rPr>
        <w:t xml:space="preserve">[1] </w:t>
      </w:r>
      <w:r w:rsidR="00280009">
        <w:rPr>
          <w:rStyle w:val="normaltextrun"/>
          <w:rFonts w:ascii="Calibri" w:hAnsi="Calibri" w:cs="Calibri"/>
          <w:color w:val="000000"/>
          <w:sz w:val="22"/>
          <w:szCs w:val="22"/>
          <w:shd w:val="clear" w:color="auto" w:fill="FFFFFF"/>
          <w:lang w:val="en-GB"/>
        </w:rPr>
        <w:t>R4-2011906</w:t>
      </w:r>
      <w:r w:rsidR="00280009">
        <w:rPr>
          <w:rStyle w:val="normaltextrun"/>
          <w:rFonts w:ascii="Calibri" w:hAnsi="Calibri" w:cs="Calibri"/>
          <w:color w:val="000000"/>
          <w:sz w:val="22"/>
          <w:szCs w:val="22"/>
          <w:shd w:val="clear" w:color="auto" w:fill="FFFFFF"/>
          <w:lang w:val="en-GB"/>
        </w:rPr>
        <w:t xml:space="preserve">, </w:t>
      </w:r>
      <w:r w:rsidR="00280009">
        <w:rPr>
          <w:rStyle w:val="normaltextrun"/>
          <w:rFonts w:ascii="Calibri" w:hAnsi="Calibri" w:cs="Calibri"/>
          <w:color w:val="000000"/>
          <w:sz w:val="22"/>
          <w:szCs w:val="22"/>
          <w:shd w:val="clear" w:color="auto" w:fill="FFFFFF"/>
          <w:lang w:val="en-GB"/>
        </w:rPr>
        <w:t>LS on additional DC location reporting for intra-band UL CA</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DA942" w14:textId="77777777" w:rsidR="00487C7B" w:rsidRDefault="00487C7B">
      <w:r>
        <w:separator/>
      </w:r>
    </w:p>
  </w:endnote>
  <w:endnote w:type="continuationSeparator" w:id="0">
    <w:p w14:paraId="1BEBD49F" w14:textId="77777777" w:rsidR="00487C7B" w:rsidRDefault="00487C7B">
      <w:r>
        <w:continuationSeparator/>
      </w:r>
    </w:p>
  </w:endnote>
  <w:endnote w:type="continuationNotice" w:id="1">
    <w:p w14:paraId="17B36D98" w14:textId="77777777" w:rsidR="00487C7B" w:rsidRDefault="00487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40D6A" w14:textId="77777777" w:rsidR="00487C7B" w:rsidRDefault="00487C7B">
      <w:r>
        <w:separator/>
      </w:r>
    </w:p>
  </w:footnote>
  <w:footnote w:type="continuationSeparator" w:id="0">
    <w:p w14:paraId="15537D71" w14:textId="77777777" w:rsidR="00487C7B" w:rsidRDefault="00487C7B">
      <w:r>
        <w:continuationSeparator/>
      </w:r>
    </w:p>
  </w:footnote>
  <w:footnote w:type="continuationNotice" w:id="1">
    <w:p w14:paraId="7F8D8E4C" w14:textId="77777777" w:rsidR="00487C7B" w:rsidRDefault="00487C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40994"/>
    <w:multiLevelType w:val="multilevel"/>
    <w:tmpl w:val="3AB2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F4CDC"/>
    <w:multiLevelType w:val="multilevel"/>
    <w:tmpl w:val="C2BC3C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9667F"/>
    <w:multiLevelType w:val="multilevel"/>
    <w:tmpl w:val="CC243B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B2216"/>
    <w:multiLevelType w:val="multilevel"/>
    <w:tmpl w:val="BDDC52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01AE1"/>
    <w:multiLevelType w:val="hybridMultilevel"/>
    <w:tmpl w:val="F580C44E"/>
    <w:lvl w:ilvl="0" w:tplc="6B7E51F0">
      <w:start w:val="2"/>
      <w:numFmt w:val="bullet"/>
      <w:lvlText w:val=""/>
      <w:lvlJc w:val="left"/>
      <w:pPr>
        <w:ind w:left="648" w:hanging="360"/>
      </w:pPr>
      <w:rPr>
        <w:rFonts w:ascii="Symbol" w:eastAsia="SimSun" w:hAnsi="Symbol"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5"/>
  </w:num>
  <w:num w:numId="7">
    <w:abstractNumId w:val="20"/>
  </w:num>
  <w:num w:numId="8">
    <w:abstractNumId w:val="10"/>
  </w:num>
  <w:num w:numId="9">
    <w:abstractNumId w:val="17"/>
  </w:num>
  <w:num w:numId="10">
    <w:abstractNumId w:val="13"/>
  </w:num>
  <w:num w:numId="11">
    <w:abstractNumId w:val="8"/>
  </w:num>
  <w:num w:numId="12">
    <w:abstractNumId w:val="21"/>
  </w:num>
  <w:num w:numId="13">
    <w:abstractNumId w:val="24"/>
  </w:num>
  <w:num w:numId="14">
    <w:abstractNumId w:val="2"/>
  </w:num>
  <w:num w:numId="15">
    <w:abstractNumId w:val="15"/>
  </w:num>
  <w:num w:numId="16">
    <w:abstractNumId w:val="23"/>
  </w:num>
  <w:num w:numId="17">
    <w:abstractNumId w:val="12"/>
  </w:num>
  <w:num w:numId="18">
    <w:abstractNumId w:val="19"/>
  </w:num>
  <w:num w:numId="19">
    <w:abstractNumId w:val="18"/>
  </w:num>
  <w:num w:numId="20">
    <w:abstractNumId w:val="11"/>
  </w:num>
  <w:num w:numId="21">
    <w:abstractNumId w:val="9"/>
  </w:num>
  <w:num w:numId="22">
    <w:abstractNumId w:val="22"/>
  </w:num>
  <w:num w:numId="23">
    <w:abstractNumId w:val="4"/>
  </w:num>
  <w:num w:numId="24">
    <w:abstractNumId w:val="6"/>
  </w:num>
  <w:num w:numId="25">
    <w:abstractNumId w:val="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6342B"/>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491"/>
    <w:rsid w:val="000D6CFC"/>
    <w:rsid w:val="000D7B63"/>
    <w:rsid w:val="000E0C40"/>
    <w:rsid w:val="000E655F"/>
    <w:rsid w:val="000E7B3E"/>
    <w:rsid w:val="000F0309"/>
    <w:rsid w:val="000F1757"/>
    <w:rsid w:val="000F19F3"/>
    <w:rsid w:val="000F2367"/>
    <w:rsid w:val="000F33B9"/>
    <w:rsid w:val="000F4870"/>
    <w:rsid w:val="00101C9A"/>
    <w:rsid w:val="00102F34"/>
    <w:rsid w:val="00110E26"/>
    <w:rsid w:val="0011232E"/>
    <w:rsid w:val="00115EA7"/>
    <w:rsid w:val="00120AEA"/>
    <w:rsid w:val="00123A47"/>
    <w:rsid w:val="00124A97"/>
    <w:rsid w:val="00130DC6"/>
    <w:rsid w:val="001314EF"/>
    <w:rsid w:val="00134C5E"/>
    <w:rsid w:val="00137D3C"/>
    <w:rsid w:val="00151BA6"/>
    <w:rsid w:val="00153528"/>
    <w:rsid w:val="001546D2"/>
    <w:rsid w:val="00161648"/>
    <w:rsid w:val="00162548"/>
    <w:rsid w:val="00163E5C"/>
    <w:rsid w:val="00166B0B"/>
    <w:rsid w:val="001724CB"/>
    <w:rsid w:val="001770FF"/>
    <w:rsid w:val="001776F8"/>
    <w:rsid w:val="0018724F"/>
    <w:rsid w:val="00192E60"/>
    <w:rsid w:val="00196452"/>
    <w:rsid w:val="001A08AA"/>
    <w:rsid w:val="001A494E"/>
    <w:rsid w:val="001A696A"/>
    <w:rsid w:val="001A759A"/>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1CF8"/>
    <w:rsid w:val="00233D0B"/>
    <w:rsid w:val="00235394"/>
    <w:rsid w:val="00237F41"/>
    <w:rsid w:val="00241218"/>
    <w:rsid w:val="0024230C"/>
    <w:rsid w:val="00250351"/>
    <w:rsid w:val="00250DFD"/>
    <w:rsid w:val="0025212D"/>
    <w:rsid w:val="00254D59"/>
    <w:rsid w:val="0026179F"/>
    <w:rsid w:val="00273308"/>
    <w:rsid w:val="00274E1A"/>
    <w:rsid w:val="00280009"/>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E7EF7"/>
    <w:rsid w:val="002F4093"/>
    <w:rsid w:val="0030075C"/>
    <w:rsid w:val="003022A5"/>
    <w:rsid w:val="003048DF"/>
    <w:rsid w:val="0030611C"/>
    <w:rsid w:val="00306D8F"/>
    <w:rsid w:val="00310908"/>
    <w:rsid w:val="00311A42"/>
    <w:rsid w:val="003130B1"/>
    <w:rsid w:val="003144B4"/>
    <w:rsid w:val="003209A6"/>
    <w:rsid w:val="003258EE"/>
    <w:rsid w:val="00334543"/>
    <w:rsid w:val="00335371"/>
    <w:rsid w:val="003368EC"/>
    <w:rsid w:val="00345309"/>
    <w:rsid w:val="003476CC"/>
    <w:rsid w:val="003508C5"/>
    <w:rsid w:val="003514DA"/>
    <w:rsid w:val="00352331"/>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90AE4"/>
    <w:rsid w:val="00394403"/>
    <w:rsid w:val="0039459B"/>
    <w:rsid w:val="0039642D"/>
    <w:rsid w:val="00397B8C"/>
    <w:rsid w:val="003A0138"/>
    <w:rsid w:val="003A1E69"/>
    <w:rsid w:val="003A415C"/>
    <w:rsid w:val="003C1BD5"/>
    <w:rsid w:val="003C625A"/>
    <w:rsid w:val="003C72DD"/>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2F0"/>
    <w:rsid w:val="00453003"/>
    <w:rsid w:val="00455F29"/>
    <w:rsid w:val="004560DA"/>
    <w:rsid w:val="00456CA6"/>
    <w:rsid w:val="00461E39"/>
    <w:rsid w:val="00464D43"/>
    <w:rsid w:val="00466C39"/>
    <w:rsid w:val="004725D9"/>
    <w:rsid w:val="00473A40"/>
    <w:rsid w:val="00476D64"/>
    <w:rsid w:val="00480B0D"/>
    <w:rsid w:val="0048320E"/>
    <w:rsid w:val="0048543E"/>
    <w:rsid w:val="00486057"/>
    <w:rsid w:val="00487C7B"/>
    <w:rsid w:val="00491D16"/>
    <w:rsid w:val="004A495F"/>
    <w:rsid w:val="004B16A5"/>
    <w:rsid w:val="004B43D6"/>
    <w:rsid w:val="004B706B"/>
    <w:rsid w:val="004C0262"/>
    <w:rsid w:val="004C27C6"/>
    <w:rsid w:val="004C2E8B"/>
    <w:rsid w:val="004C2EE5"/>
    <w:rsid w:val="004D382F"/>
    <w:rsid w:val="004D4538"/>
    <w:rsid w:val="004E2896"/>
    <w:rsid w:val="004E56E0"/>
    <w:rsid w:val="004F2599"/>
    <w:rsid w:val="004F4CF2"/>
    <w:rsid w:val="0050159B"/>
    <w:rsid w:val="0050186F"/>
    <w:rsid w:val="00505BFA"/>
    <w:rsid w:val="00506865"/>
    <w:rsid w:val="0051091D"/>
    <w:rsid w:val="00510FFC"/>
    <w:rsid w:val="00511F57"/>
    <w:rsid w:val="00515CBE"/>
    <w:rsid w:val="0052067B"/>
    <w:rsid w:val="00522A7E"/>
    <w:rsid w:val="00525F4B"/>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73B3"/>
    <w:rsid w:val="00597A6B"/>
    <w:rsid w:val="005B36B8"/>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5D3C"/>
    <w:rsid w:val="006A4F45"/>
    <w:rsid w:val="006A5844"/>
    <w:rsid w:val="006A5AE8"/>
    <w:rsid w:val="006A6D23"/>
    <w:rsid w:val="006D6A3D"/>
    <w:rsid w:val="006E6CA4"/>
    <w:rsid w:val="006E7C24"/>
    <w:rsid w:val="006F2184"/>
    <w:rsid w:val="006F6A0D"/>
    <w:rsid w:val="006F7C0C"/>
    <w:rsid w:val="00701EB1"/>
    <w:rsid w:val="007028EC"/>
    <w:rsid w:val="007036FE"/>
    <w:rsid w:val="0070646B"/>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38B"/>
    <w:rsid w:val="00780418"/>
    <w:rsid w:val="00784BFC"/>
    <w:rsid w:val="0079480E"/>
    <w:rsid w:val="007959D0"/>
    <w:rsid w:val="007A13BA"/>
    <w:rsid w:val="007A41E8"/>
    <w:rsid w:val="007B1E69"/>
    <w:rsid w:val="007B5784"/>
    <w:rsid w:val="007C13FD"/>
    <w:rsid w:val="007C43EE"/>
    <w:rsid w:val="007C6D42"/>
    <w:rsid w:val="007D4ED4"/>
    <w:rsid w:val="007D61F3"/>
    <w:rsid w:val="007D69FE"/>
    <w:rsid w:val="007E30EF"/>
    <w:rsid w:val="007E312D"/>
    <w:rsid w:val="007E65BD"/>
    <w:rsid w:val="007F0E1E"/>
    <w:rsid w:val="007F29A7"/>
    <w:rsid w:val="007F7E8C"/>
    <w:rsid w:val="00807E0E"/>
    <w:rsid w:val="00825908"/>
    <w:rsid w:val="00831E70"/>
    <w:rsid w:val="00832802"/>
    <w:rsid w:val="00832852"/>
    <w:rsid w:val="00832A1E"/>
    <w:rsid w:val="0083671B"/>
    <w:rsid w:val="00837966"/>
    <w:rsid w:val="00843A91"/>
    <w:rsid w:val="00845903"/>
    <w:rsid w:val="00857888"/>
    <w:rsid w:val="0086381C"/>
    <w:rsid w:val="00866C1D"/>
    <w:rsid w:val="00872201"/>
    <w:rsid w:val="00873396"/>
    <w:rsid w:val="00874C16"/>
    <w:rsid w:val="00875F15"/>
    <w:rsid w:val="0087636F"/>
    <w:rsid w:val="00877C87"/>
    <w:rsid w:val="00884F56"/>
    <w:rsid w:val="00890B06"/>
    <w:rsid w:val="00894CDE"/>
    <w:rsid w:val="008A35EA"/>
    <w:rsid w:val="008A4538"/>
    <w:rsid w:val="008A70E8"/>
    <w:rsid w:val="008B2E5C"/>
    <w:rsid w:val="008B402C"/>
    <w:rsid w:val="008B5AE7"/>
    <w:rsid w:val="008B5CD3"/>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DA9"/>
    <w:rsid w:val="00975EB3"/>
    <w:rsid w:val="00977DE4"/>
    <w:rsid w:val="00983910"/>
    <w:rsid w:val="009919F7"/>
    <w:rsid w:val="00993F49"/>
    <w:rsid w:val="0099479C"/>
    <w:rsid w:val="009A0A28"/>
    <w:rsid w:val="009A3083"/>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6B8F"/>
    <w:rsid w:val="00AE7868"/>
    <w:rsid w:val="00AF0407"/>
    <w:rsid w:val="00AF065F"/>
    <w:rsid w:val="00AF1CC0"/>
    <w:rsid w:val="00AF3858"/>
    <w:rsid w:val="00AF5655"/>
    <w:rsid w:val="00B00AEC"/>
    <w:rsid w:val="00B04101"/>
    <w:rsid w:val="00B05554"/>
    <w:rsid w:val="00B06BE1"/>
    <w:rsid w:val="00B127B6"/>
    <w:rsid w:val="00B159D4"/>
    <w:rsid w:val="00B43CEC"/>
    <w:rsid w:val="00B57265"/>
    <w:rsid w:val="00B572DC"/>
    <w:rsid w:val="00B62783"/>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7BB0"/>
    <w:rsid w:val="00BD209B"/>
    <w:rsid w:val="00BD299D"/>
    <w:rsid w:val="00BD352D"/>
    <w:rsid w:val="00BD3B83"/>
    <w:rsid w:val="00BD6404"/>
    <w:rsid w:val="00BD7464"/>
    <w:rsid w:val="00BE1F34"/>
    <w:rsid w:val="00BE7FF4"/>
    <w:rsid w:val="00BF0511"/>
    <w:rsid w:val="00BF2692"/>
    <w:rsid w:val="00BF7196"/>
    <w:rsid w:val="00C0095C"/>
    <w:rsid w:val="00C04098"/>
    <w:rsid w:val="00C04401"/>
    <w:rsid w:val="00C11DEE"/>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32D6"/>
    <w:rsid w:val="00D24867"/>
    <w:rsid w:val="00D3188C"/>
    <w:rsid w:val="00D37BEF"/>
    <w:rsid w:val="00D42A79"/>
    <w:rsid w:val="00D47506"/>
    <w:rsid w:val="00D520E4"/>
    <w:rsid w:val="00D52759"/>
    <w:rsid w:val="00D557AB"/>
    <w:rsid w:val="00D557F9"/>
    <w:rsid w:val="00D57DFA"/>
    <w:rsid w:val="00D57F26"/>
    <w:rsid w:val="00D604B9"/>
    <w:rsid w:val="00D61D18"/>
    <w:rsid w:val="00D659C0"/>
    <w:rsid w:val="00D71F73"/>
    <w:rsid w:val="00D73ED6"/>
    <w:rsid w:val="00D80B01"/>
    <w:rsid w:val="00D83B07"/>
    <w:rsid w:val="00D86F65"/>
    <w:rsid w:val="00D9307D"/>
    <w:rsid w:val="00D94560"/>
    <w:rsid w:val="00D9484D"/>
    <w:rsid w:val="00D95DF9"/>
    <w:rsid w:val="00D95FC9"/>
    <w:rsid w:val="00D97F0C"/>
    <w:rsid w:val="00DA04B8"/>
    <w:rsid w:val="00DA3037"/>
    <w:rsid w:val="00DA7F7F"/>
    <w:rsid w:val="00DB0CF0"/>
    <w:rsid w:val="00DB1F26"/>
    <w:rsid w:val="00DB61C4"/>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45AD"/>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E019C"/>
    <w:rsid w:val="00EF445F"/>
    <w:rsid w:val="00F02DF1"/>
    <w:rsid w:val="00F070AC"/>
    <w:rsid w:val="00F072D8"/>
    <w:rsid w:val="00F10B3C"/>
    <w:rsid w:val="00F1254B"/>
    <w:rsid w:val="00F26283"/>
    <w:rsid w:val="00F268D5"/>
    <w:rsid w:val="00F27A27"/>
    <w:rsid w:val="00F326B0"/>
    <w:rsid w:val="00F350F1"/>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paragraph" w:customStyle="1" w:styleId="paragraph">
    <w:name w:val="paragraph"/>
    <w:basedOn w:val="Normal"/>
    <w:rsid w:val="00280009"/>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280009"/>
  </w:style>
  <w:style w:type="character" w:customStyle="1" w:styleId="eop">
    <w:name w:val="eop"/>
    <w:basedOn w:val="DefaultParagraphFont"/>
    <w:rsid w:val="00280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7826">
      <w:bodyDiv w:val="1"/>
      <w:marLeft w:val="0"/>
      <w:marRight w:val="0"/>
      <w:marTop w:val="0"/>
      <w:marBottom w:val="0"/>
      <w:divBdr>
        <w:top w:val="none" w:sz="0" w:space="0" w:color="auto"/>
        <w:left w:val="none" w:sz="0" w:space="0" w:color="auto"/>
        <w:bottom w:val="none" w:sz="0" w:space="0" w:color="auto"/>
        <w:right w:val="none" w:sz="0" w:space="0" w:color="auto"/>
      </w:divBdr>
      <w:divsChild>
        <w:div w:id="1128663974">
          <w:marLeft w:val="0"/>
          <w:marRight w:val="0"/>
          <w:marTop w:val="0"/>
          <w:marBottom w:val="0"/>
          <w:divBdr>
            <w:top w:val="none" w:sz="0" w:space="0" w:color="auto"/>
            <w:left w:val="none" w:sz="0" w:space="0" w:color="auto"/>
            <w:bottom w:val="none" w:sz="0" w:space="0" w:color="auto"/>
            <w:right w:val="none" w:sz="0" w:space="0" w:color="auto"/>
          </w:divBdr>
        </w:div>
        <w:div w:id="1915359151">
          <w:marLeft w:val="0"/>
          <w:marRight w:val="0"/>
          <w:marTop w:val="0"/>
          <w:marBottom w:val="0"/>
          <w:divBdr>
            <w:top w:val="none" w:sz="0" w:space="0" w:color="auto"/>
            <w:left w:val="none" w:sz="0" w:space="0" w:color="auto"/>
            <w:bottom w:val="none" w:sz="0" w:space="0" w:color="auto"/>
            <w:right w:val="none" w:sz="0" w:space="0" w:color="auto"/>
          </w:divBdr>
          <w:divsChild>
            <w:div w:id="1894385565">
              <w:marLeft w:val="0"/>
              <w:marRight w:val="0"/>
              <w:marTop w:val="0"/>
              <w:marBottom w:val="0"/>
              <w:divBdr>
                <w:top w:val="none" w:sz="0" w:space="0" w:color="auto"/>
                <w:left w:val="none" w:sz="0" w:space="0" w:color="auto"/>
                <w:bottom w:val="none" w:sz="0" w:space="0" w:color="auto"/>
                <w:right w:val="none" w:sz="0" w:space="0" w:color="auto"/>
              </w:divBdr>
            </w:div>
            <w:div w:id="48042802">
              <w:marLeft w:val="0"/>
              <w:marRight w:val="0"/>
              <w:marTop w:val="0"/>
              <w:marBottom w:val="0"/>
              <w:divBdr>
                <w:top w:val="none" w:sz="0" w:space="0" w:color="auto"/>
                <w:left w:val="none" w:sz="0" w:space="0" w:color="auto"/>
                <w:bottom w:val="none" w:sz="0" w:space="0" w:color="auto"/>
                <w:right w:val="none" w:sz="0" w:space="0" w:color="auto"/>
              </w:divBdr>
            </w:div>
          </w:divsChild>
        </w:div>
        <w:div w:id="1205870554">
          <w:marLeft w:val="0"/>
          <w:marRight w:val="0"/>
          <w:marTop w:val="0"/>
          <w:marBottom w:val="0"/>
          <w:divBdr>
            <w:top w:val="none" w:sz="0" w:space="0" w:color="auto"/>
            <w:left w:val="none" w:sz="0" w:space="0" w:color="auto"/>
            <w:bottom w:val="none" w:sz="0" w:space="0" w:color="auto"/>
            <w:right w:val="none" w:sz="0" w:space="0" w:color="auto"/>
          </w:divBdr>
        </w:div>
      </w:divsChild>
    </w:div>
    <w:div w:id="81073652">
      <w:bodyDiv w:val="1"/>
      <w:marLeft w:val="0"/>
      <w:marRight w:val="0"/>
      <w:marTop w:val="0"/>
      <w:marBottom w:val="0"/>
      <w:divBdr>
        <w:top w:val="none" w:sz="0" w:space="0" w:color="auto"/>
        <w:left w:val="none" w:sz="0" w:space="0" w:color="auto"/>
        <w:bottom w:val="none" w:sz="0" w:space="0" w:color="auto"/>
        <w:right w:val="none" w:sz="0" w:space="0" w:color="auto"/>
      </w:divBdr>
      <w:divsChild>
        <w:div w:id="177934306">
          <w:marLeft w:val="0"/>
          <w:marRight w:val="0"/>
          <w:marTop w:val="0"/>
          <w:marBottom w:val="0"/>
          <w:divBdr>
            <w:top w:val="none" w:sz="0" w:space="0" w:color="auto"/>
            <w:left w:val="none" w:sz="0" w:space="0" w:color="auto"/>
            <w:bottom w:val="none" w:sz="0" w:space="0" w:color="auto"/>
            <w:right w:val="none" w:sz="0" w:space="0" w:color="auto"/>
          </w:divBdr>
        </w:div>
        <w:div w:id="1850556452">
          <w:marLeft w:val="0"/>
          <w:marRight w:val="0"/>
          <w:marTop w:val="0"/>
          <w:marBottom w:val="0"/>
          <w:divBdr>
            <w:top w:val="none" w:sz="0" w:space="0" w:color="auto"/>
            <w:left w:val="none" w:sz="0" w:space="0" w:color="auto"/>
            <w:bottom w:val="none" w:sz="0" w:space="0" w:color="auto"/>
            <w:right w:val="none" w:sz="0" w:space="0" w:color="auto"/>
          </w:divBdr>
        </w:div>
        <w:div w:id="767313915">
          <w:marLeft w:val="0"/>
          <w:marRight w:val="0"/>
          <w:marTop w:val="0"/>
          <w:marBottom w:val="0"/>
          <w:divBdr>
            <w:top w:val="none" w:sz="0" w:space="0" w:color="auto"/>
            <w:left w:val="none" w:sz="0" w:space="0" w:color="auto"/>
            <w:bottom w:val="none" w:sz="0" w:space="0" w:color="auto"/>
            <w:right w:val="none" w:sz="0" w:space="0" w:color="auto"/>
          </w:divBdr>
        </w:div>
      </w:divsChild>
    </w:div>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305478698">
      <w:bodyDiv w:val="1"/>
      <w:marLeft w:val="0"/>
      <w:marRight w:val="0"/>
      <w:marTop w:val="0"/>
      <w:marBottom w:val="0"/>
      <w:divBdr>
        <w:top w:val="none" w:sz="0" w:space="0" w:color="auto"/>
        <w:left w:val="none" w:sz="0" w:space="0" w:color="auto"/>
        <w:bottom w:val="none" w:sz="0" w:space="0" w:color="auto"/>
        <w:right w:val="none" w:sz="0" w:space="0" w:color="auto"/>
      </w:divBdr>
      <w:divsChild>
        <w:div w:id="498619733">
          <w:marLeft w:val="0"/>
          <w:marRight w:val="0"/>
          <w:marTop w:val="0"/>
          <w:marBottom w:val="0"/>
          <w:divBdr>
            <w:top w:val="none" w:sz="0" w:space="0" w:color="auto"/>
            <w:left w:val="none" w:sz="0" w:space="0" w:color="auto"/>
            <w:bottom w:val="none" w:sz="0" w:space="0" w:color="auto"/>
            <w:right w:val="none" w:sz="0" w:space="0" w:color="auto"/>
          </w:divBdr>
        </w:div>
        <w:div w:id="330184384">
          <w:marLeft w:val="0"/>
          <w:marRight w:val="0"/>
          <w:marTop w:val="0"/>
          <w:marBottom w:val="0"/>
          <w:divBdr>
            <w:top w:val="none" w:sz="0" w:space="0" w:color="auto"/>
            <w:left w:val="none" w:sz="0" w:space="0" w:color="auto"/>
            <w:bottom w:val="none" w:sz="0" w:space="0" w:color="auto"/>
            <w:right w:val="none" w:sz="0" w:space="0" w:color="auto"/>
          </w:divBdr>
          <w:divsChild>
            <w:div w:id="965358365">
              <w:marLeft w:val="0"/>
              <w:marRight w:val="0"/>
              <w:marTop w:val="0"/>
              <w:marBottom w:val="0"/>
              <w:divBdr>
                <w:top w:val="none" w:sz="0" w:space="0" w:color="auto"/>
                <w:left w:val="none" w:sz="0" w:space="0" w:color="auto"/>
                <w:bottom w:val="none" w:sz="0" w:space="0" w:color="auto"/>
                <w:right w:val="none" w:sz="0" w:space="0" w:color="auto"/>
              </w:divBdr>
            </w:div>
            <w:div w:id="1840388408">
              <w:marLeft w:val="0"/>
              <w:marRight w:val="0"/>
              <w:marTop w:val="0"/>
              <w:marBottom w:val="0"/>
              <w:divBdr>
                <w:top w:val="none" w:sz="0" w:space="0" w:color="auto"/>
                <w:left w:val="none" w:sz="0" w:space="0" w:color="auto"/>
                <w:bottom w:val="none" w:sz="0" w:space="0" w:color="auto"/>
                <w:right w:val="none" w:sz="0" w:space="0" w:color="auto"/>
              </w:divBdr>
            </w:div>
          </w:divsChild>
        </w:div>
        <w:div w:id="117183183">
          <w:marLeft w:val="0"/>
          <w:marRight w:val="0"/>
          <w:marTop w:val="0"/>
          <w:marBottom w:val="0"/>
          <w:divBdr>
            <w:top w:val="none" w:sz="0" w:space="0" w:color="auto"/>
            <w:left w:val="none" w:sz="0" w:space="0" w:color="auto"/>
            <w:bottom w:val="none" w:sz="0" w:space="0" w:color="auto"/>
            <w:right w:val="none" w:sz="0" w:space="0" w:color="auto"/>
          </w:divBdr>
        </w:div>
      </w:divsChild>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673411795">
      <w:bodyDiv w:val="1"/>
      <w:marLeft w:val="0"/>
      <w:marRight w:val="0"/>
      <w:marTop w:val="0"/>
      <w:marBottom w:val="0"/>
      <w:divBdr>
        <w:top w:val="none" w:sz="0" w:space="0" w:color="auto"/>
        <w:left w:val="none" w:sz="0" w:space="0" w:color="auto"/>
        <w:bottom w:val="none" w:sz="0" w:space="0" w:color="auto"/>
        <w:right w:val="none" w:sz="0" w:space="0" w:color="auto"/>
      </w:divBdr>
      <w:divsChild>
        <w:div w:id="2111047172">
          <w:marLeft w:val="0"/>
          <w:marRight w:val="0"/>
          <w:marTop w:val="0"/>
          <w:marBottom w:val="0"/>
          <w:divBdr>
            <w:top w:val="none" w:sz="0" w:space="0" w:color="auto"/>
            <w:left w:val="none" w:sz="0" w:space="0" w:color="auto"/>
            <w:bottom w:val="none" w:sz="0" w:space="0" w:color="auto"/>
            <w:right w:val="none" w:sz="0" w:space="0" w:color="auto"/>
          </w:divBdr>
          <w:divsChild>
            <w:div w:id="1583567185">
              <w:marLeft w:val="0"/>
              <w:marRight w:val="0"/>
              <w:marTop w:val="0"/>
              <w:marBottom w:val="0"/>
              <w:divBdr>
                <w:top w:val="none" w:sz="0" w:space="0" w:color="auto"/>
                <w:left w:val="none" w:sz="0" w:space="0" w:color="auto"/>
                <w:bottom w:val="none" w:sz="0" w:space="0" w:color="auto"/>
                <w:right w:val="none" w:sz="0" w:space="0" w:color="auto"/>
              </w:divBdr>
            </w:div>
            <w:div w:id="1112213074">
              <w:marLeft w:val="0"/>
              <w:marRight w:val="0"/>
              <w:marTop w:val="0"/>
              <w:marBottom w:val="0"/>
              <w:divBdr>
                <w:top w:val="none" w:sz="0" w:space="0" w:color="auto"/>
                <w:left w:val="none" w:sz="0" w:space="0" w:color="auto"/>
                <w:bottom w:val="none" w:sz="0" w:space="0" w:color="auto"/>
                <w:right w:val="none" w:sz="0" w:space="0" w:color="auto"/>
              </w:divBdr>
            </w:div>
            <w:div w:id="738401398">
              <w:marLeft w:val="0"/>
              <w:marRight w:val="0"/>
              <w:marTop w:val="0"/>
              <w:marBottom w:val="0"/>
              <w:divBdr>
                <w:top w:val="none" w:sz="0" w:space="0" w:color="auto"/>
                <w:left w:val="none" w:sz="0" w:space="0" w:color="auto"/>
                <w:bottom w:val="none" w:sz="0" w:space="0" w:color="auto"/>
                <w:right w:val="none" w:sz="0" w:space="0" w:color="auto"/>
              </w:divBdr>
            </w:div>
          </w:divsChild>
        </w:div>
        <w:div w:id="1765879584">
          <w:marLeft w:val="0"/>
          <w:marRight w:val="0"/>
          <w:marTop w:val="0"/>
          <w:marBottom w:val="0"/>
          <w:divBdr>
            <w:top w:val="none" w:sz="0" w:space="0" w:color="auto"/>
            <w:left w:val="none" w:sz="0" w:space="0" w:color="auto"/>
            <w:bottom w:val="none" w:sz="0" w:space="0" w:color="auto"/>
            <w:right w:val="none" w:sz="0" w:space="0" w:color="auto"/>
          </w:divBdr>
          <w:divsChild>
            <w:div w:id="1591741430">
              <w:marLeft w:val="0"/>
              <w:marRight w:val="0"/>
              <w:marTop w:val="0"/>
              <w:marBottom w:val="0"/>
              <w:divBdr>
                <w:top w:val="none" w:sz="0" w:space="0" w:color="auto"/>
                <w:left w:val="none" w:sz="0" w:space="0" w:color="auto"/>
                <w:bottom w:val="none" w:sz="0" w:space="0" w:color="auto"/>
                <w:right w:val="none" w:sz="0" w:space="0" w:color="auto"/>
              </w:divBdr>
            </w:div>
            <w:div w:id="1847285072">
              <w:marLeft w:val="0"/>
              <w:marRight w:val="0"/>
              <w:marTop w:val="0"/>
              <w:marBottom w:val="0"/>
              <w:divBdr>
                <w:top w:val="none" w:sz="0" w:space="0" w:color="auto"/>
                <w:left w:val="none" w:sz="0" w:space="0" w:color="auto"/>
                <w:bottom w:val="none" w:sz="0" w:space="0" w:color="auto"/>
                <w:right w:val="none" w:sz="0" w:space="0" w:color="auto"/>
              </w:divBdr>
            </w:div>
            <w:div w:id="267858781">
              <w:marLeft w:val="0"/>
              <w:marRight w:val="0"/>
              <w:marTop w:val="0"/>
              <w:marBottom w:val="0"/>
              <w:divBdr>
                <w:top w:val="none" w:sz="0" w:space="0" w:color="auto"/>
                <w:left w:val="none" w:sz="0" w:space="0" w:color="auto"/>
                <w:bottom w:val="none" w:sz="0" w:space="0" w:color="auto"/>
                <w:right w:val="none" w:sz="0" w:space="0" w:color="auto"/>
              </w:divBdr>
            </w:div>
            <w:div w:id="2143839110">
              <w:marLeft w:val="0"/>
              <w:marRight w:val="0"/>
              <w:marTop w:val="0"/>
              <w:marBottom w:val="0"/>
              <w:divBdr>
                <w:top w:val="none" w:sz="0" w:space="0" w:color="auto"/>
                <w:left w:val="none" w:sz="0" w:space="0" w:color="auto"/>
                <w:bottom w:val="none" w:sz="0" w:space="0" w:color="auto"/>
                <w:right w:val="none" w:sz="0" w:space="0" w:color="auto"/>
              </w:divBdr>
            </w:div>
            <w:div w:id="90521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25FB9-1A63-47E3-890C-2F85D84E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3077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2020-08-07T07:27:00Z</dcterms:created>
  <dcterms:modified xsi:type="dcterms:W3CDTF">2020-10-23T18:55:00Z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